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332B8E" w:rsidRDefault="00BF1A6B" w:rsidP="00332B8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332B8E">
        <w:rPr>
          <w:rFonts w:ascii="Garamond" w:hAnsi="Garamond" w:cs="Arial"/>
          <w:b/>
          <w:bCs/>
          <w:kern w:val="144"/>
          <w:sz w:val="26"/>
        </w:rPr>
        <w:t>1</w:t>
      </w:r>
      <w:r w:rsidR="00304B6A">
        <w:rPr>
          <w:rFonts w:ascii="Garamond" w:hAnsi="Garamond" w:cs="Arial"/>
          <w:b/>
          <w:bCs/>
          <w:kern w:val="144"/>
          <w:sz w:val="26"/>
        </w:rPr>
        <w:t>/201</w:t>
      </w:r>
      <w:r w:rsidR="00332B8E">
        <w:rPr>
          <w:rFonts w:ascii="Garamond" w:hAnsi="Garamond" w:cs="Arial"/>
          <w:b/>
          <w:bCs/>
          <w:kern w:val="144"/>
          <w:sz w:val="26"/>
        </w:rPr>
        <w:t>5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>na dostawę</w:t>
      </w:r>
      <w:r>
        <w:rPr>
          <w:rFonts w:ascii="Garamond" w:hAnsi="Garamond" w:cs="Arial"/>
          <w:kern w:val="144"/>
        </w:rPr>
        <w:t>:</w:t>
      </w:r>
      <w:r w:rsidR="00332B8E">
        <w:rPr>
          <w:rFonts w:ascii="Garamond" w:hAnsi="Garamond" w:cs="Arial"/>
          <w:kern w:val="144"/>
        </w:rPr>
        <w:t xml:space="preserve"> </w:t>
      </w:r>
    </w:p>
    <w:p w:rsidR="00332B8E" w:rsidRDefault="00332B8E" w:rsidP="00332B8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332B8E" w:rsidRDefault="00332B8E" w:rsidP="00332B8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smallCaps/>
          <w:sz w:val="28"/>
          <w:szCs w:val="22"/>
        </w:rPr>
      </w:pPr>
      <w:r w:rsidRPr="00332B8E">
        <w:rPr>
          <w:rFonts w:ascii="Garamond" w:hAnsi="Garamond" w:cs="Tahoma"/>
          <w:b/>
          <w:smallCaps/>
          <w:sz w:val="28"/>
          <w:szCs w:val="22"/>
        </w:rPr>
        <w:t xml:space="preserve">zakup i dostawę szczepionki </w:t>
      </w:r>
      <w:proofErr w:type="spellStart"/>
      <w:r w:rsidRPr="00332B8E">
        <w:rPr>
          <w:rFonts w:ascii="Garamond" w:hAnsi="Garamond" w:cs="Tahoma"/>
          <w:b/>
          <w:smallCaps/>
          <w:sz w:val="28"/>
          <w:szCs w:val="22"/>
        </w:rPr>
        <w:t>skoniugowanej</w:t>
      </w:r>
      <w:proofErr w:type="spellEnd"/>
      <w:r w:rsidRPr="00332B8E">
        <w:rPr>
          <w:rFonts w:ascii="Garamond" w:hAnsi="Garamond" w:cs="Tahoma"/>
          <w:b/>
          <w:smallCaps/>
          <w:sz w:val="28"/>
          <w:szCs w:val="22"/>
        </w:rPr>
        <w:t xml:space="preserve"> p/pneumokokom </w:t>
      </w:r>
    </w:p>
    <w:p w:rsidR="00332B8E" w:rsidRPr="00332B8E" w:rsidRDefault="00332B8E" w:rsidP="00332B8E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  <w:sz w:val="32"/>
        </w:rPr>
      </w:pPr>
      <w:r w:rsidRPr="00332B8E">
        <w:rPr>
          <w:rFonts w:ascii="Garamond" w:hAnsi="Garamond" w:cs="Tahoma"/>
          <w:b/>
          <w:smallCaps/>
          <w:sz w:val="28"/>
          <w:szCs w:val="22"/>
        </w:rPr>
        <w:t>13-walentnej w liczbie 250 sztuk</w:t>
      </w: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F14694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332B8E">
              <w:rPr>
                <w:rFonts w:ascii="Garamond" w:hAnsi="Garamond" w:cs="Arial"/>
                <w:b/>
                <w:sz w:val="22"/>
              </w:rPr>
              <w:t>5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332B8E" w:rsidRDefault="00332B8E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lastRenderedPageBreak/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lastRenderedPageBreak/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10E67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 xml:space="preserve">5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10E67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10E67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410E67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</w:t>
      </w:r>
      <w:bookmarkStart w:id="0" w:name="_GoBack"/>
      <w:bookmarkEnd w:id="0"/>
      <w:r w:rsidR="0037232F" w:rsidRPr="00B74445">
        <w:rPr>
          <w:rFonts w:ascii="Garamond" w:hAnsi="Garamond"/>
          <w:kern w:val="144"/>
          <w:sz w:val="22"/>
        </w:rPr>
        <w:t>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10E67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410E67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32B8E"/>
    <w:rsid w:val="0037232F"/>
    <w:rsid w:val="003E038E"/>
    <w:rsid w:val="00410E67"/>
    <w:rsid w:val="004200C2"/>
    <w:rsid w:val="005453F9"/>
    <w:rsid w:val="00575D3C"/>
    <w:rsid w:val="00582276"/>
    <w:rsid w:val="005D6BAB"/>
    <w:rsid w:val="005E3CF5"/>
    <w:rsid w:val="00622221"/>
    <w:rsid w:val="00694877"/>
    <w:rsid w:val="006A515C"/>
    <w:rsid w:val="006B00C5"/>
    <w:rsid w:val="006B2201"/>
    <w:rsid w:val="00714191"/>
    <w:rsid w:val="00752FD3"/>
    <w:rsid w:val="008070E8"/>
    <w:rsid w:val="0084048F"/>
    <w:rsid w:val="0086113E"/>
    <w:rsid w:val="00907747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D058E7"/>
    <w:rsid w:val="00D36B2A"/>
    <w:rsid w:val="00D93186"/>
    <w:rsid w:val="00DE67F8"/>
    <w:rsid w:val="00E316DD"/>
    <w:rsid w:val="00E45577"/>
    <w:rsid w:val="00EA2ACF"/>
    <w:rsid w:val="00EC6863"/>
    <w:rsid w:val="00EC6C56"/>
    <w:rsid w:val="00F14694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BB6A-8194-42DC-B4DF-CC60A17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89</TotalTime>
  <Pages>11</Pages>
  <Words>3356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36</cp:revision>
  <cp:lastPrinted>2011-11-23T11:48:00Z</cp:lastPrinted>
  <dcterms:created xsi:type="dcterms:W3CDTF">2011-11-23T11:32:00Z</dcterms:created>
  <dcterms:modified xsi:type="dcterms:W3CDTF">2015-01-12T19:39:00Z</dcterms:modified>
</cp:coreProperties>
</file>